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5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Kirchlengern, geschlossene Kanalsanierung 2026/2027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meinde Kirchlengern saniert Hauptkanäle in geschlossener Bauweise mit
Renovationsverfahr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